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057B" w14:textId="6E775D49" w:rsidR="009D6442" w:rsidRDefault="009D6442">
      <w:pPr>
        <w:pStyle w:val="BodyText"/>
        <w:ind w:left="0" w:firstLine="0"/>
        <w:rPr>
          <w:rFonts w:ascii="Times New Roman"/>
          <w:sz w:val="20"/>
        </w:rPr>
      </w:pPr>
    </w:p>
    <w:p w14:paraId="1CA73E8A" w14:textId="7442A8DC" w:rsidR="009D6442" w:rsidRDefault="00A25F4A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9AAE6A" wp14:editId="06DDBF73">
            <wp:simplePos x="0" y="0"/>
            <wp:positionH relativeFrom="column">
              <wp:posOffset>547370</wp:posOffset>
            </wp:positionH>
            <wp:positionV relativeFrom="paragraph">
              <wp:posOffset>40640</wp:posOffset>
            </wp:positionV>
            <wp:extent cx="3590925" cy="619125"/>
            <wp:effectExtent l="0" t="0" r="3175" b="3175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6FB77" w14:textId="544B7667" w:rsidR="009D6442" w:rsidRDefault="00A25F4A" w:rsidP="00A25F4A">
      <w:pPr>
        <w:pStyle w:val="BodyText"/>
        <w:tabs>
          <w:tab w:val="right" w:pos="11160"/>
        </w:tabs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3D64C7F9">
        <w:rPr>
          <w:rFonts w:ascii="Arial" w:eastAsia="Arial" w:hAnsi="Arial" w:cs="Arial"/>
          <w:sz w:val="22"/>
          <w:szCs w:val="22"/>
        </w:rPr>
        <w:t>3180 Porter Drive, First Floor</w:t>
      </w:r>
    </w:p>
    <w:p w14:paraId="6E0A363D" w14:textId="14E78790" w:rsidR="00A25F4A" w:rsidRDefault="00A25F4A" w:rsidP="00A25F4A">
      <w:pPr>
        <w:pStyle w:val="BodyText"/>
        <w:tabs>
          <w:tab w:val="right" w:pos="11160"/>
        </w:tabs>
        <w:ind w:left="0" w:firstLine="720"/>
        <w:rPr>
          <w:rFonts w:ascii="Times New Roman"/>
          <w:sz w:val="20"/>
        </w:rPr>
      </w:pPr>
      <w:r>
        <w:rPr>
          <w:rFonts w:ascii="Arial" w:eastAsia="Arial" w:hAnsi="Arial" w:cs="Arial"/>
          <w:sz w:val="22"/>
          <w:szCs w:val="22"/>
        </w:rPr>
        <w:tab/>
        <w:t>Palo Alto, CA. 94304</w:t>
      </w:r>
    </w:p>
    <w:p w14:paraId="27B9DB13" w14:textId="77777777" w:rsidR="009D6442" w:rsidRDefault="009D6442">
      <w:pPr>
        <w:pStyle w:val="BodyText"/>
        <w:ind w:left="0" w:firstLine="0"/>
        <w:rPr>
          <w:rFonts w:ascii="Times New Roman"/>
          <w:sz w:val="20"/>
        </w:rPr>
      </w:pPr>
    </w:p>
    <w:p w14:paraId="2F3619D8" w14:textId="77777777" w:rsidR="009D6442" w:rsidRDefault="009D6442">
      <w:pPr>
        <w:pStyle w:val="BodyText"/>
        <w:spacing w:before="5"/>
        <w:ind w:left="0" w:firstLine="0"/>
        <w:rPr>
          <w:rFonts w:ascii="Times New Roman"/>
          <w:sz w:val="22"/>
        </w:rPr>
      </w:pPr>
    </w:p>
    <w:p w14:paraId="0DBACE46" w14:textId="3B3D6060" w:rsidR="001A130D" w:rsidRDefault="00E568FE" w:rsidP="001A130D">
      <w:pPr>
        <w:spacing w:before="98"/>
        <w:ind w:left="2970" w:right="2290" w:firstLine="209"/>
        <w:jc w:val="center"/>
        <w:rPr>
          <w:sz w:val="28"/>
        </w:rPr>
      </w:pPr>
      <w:r>
        <w:rPr>
          <w:sz w:val="28"/>
        </w:rPr>
        <w:t>Postdoctoral Research Fellowship in</w:t>
      </w:r>
    </w:p>
    <w:p w14:paraId="498A32A2" w14:textId="30B3DC28" w:rsidR="009D6442" w:rsidRDefault="001A130D" w:rsidP="001A130D">
      <w:pPr>
        <w:snapToGrid w:val="0"/>
        <w:ind w:left="2966" w:right="2290" w:firstLine="216"/>
        <w:jc w:val="center"/>
        <w:rPr>
          <w:sz w:val="28"/>
        </w:rPr>
      </w:pPr>
      <w:r w:rsidRPr="001A130D">
        <w:rPr>
          <w:rFonts w:asciiTheme="minorHAnsi" w:eastAsiaTheme="minorHAnsi" w:hAnsiTheme="minorHAnsi" w:cstheme="minorHAnsi"/>
          <w:sz w:val="28"/>
          <w:szCs w:val="28"/>
        </w:rPr>
        <w:t>Cardiovascular and Chronic Disease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1A130D">
        <w:rPr>
          <w:rFonts w:asciiTheme="minorHAnsi" w:eastAsiaTheme="minorHAnsi" w:hAnsiTheme="minorHAnsi" w:cstheme="minorHAnsi"/>
          <w:sz w:val="28"/>
          <w:szCs w:val="28"/>
        </w:rPr>
        <w:t>Prevention</w:t>
      </w:r>
    </w:p>
    <w:p w14:paraId="55C54F69" w14:textId="1B87F1D1" w:rsidR="009D6442" w:rsidRDefault="00E568FE">
      <w:pPr>
        <w:pStyle w:val="Heading1"/>
        <w:spacing w:before="242" w:line="252" w:lineRule="auto"/>
        <w:ind w:left="1155" w:right="481"/>
      </w:pPr>
      <w:r>
        <w:rPr>
          <w:w w:val="105"/>
        </w:rPr>
        <w:t>The Stanford Prevention Research Center, an interdisciplinary research program on the prevention of chronic disease, is seeking MD</w:t>
      </w:r>
      <w:r w:rsidR="00B44812">
        <w:rPr>
          <w:w w:val="105"/>
        </w:rPr>
        <w:t>,</w:t>
      </w:r>
      <w:r>
        <w:rPr>
          <w:w w:val="105"/>
        </w:rPr>
        <w:t xml:space="preserve"> PhD</w:t>
      </w:r>
      <w:r w:rsidR="00B44812">
        <w:rPr>
          <w:w w:val="105"/>
        </w:rPr>
        <w:t>, and other post-doctoral level</w:t>
      </w:r>
      <w:r>
        <w:rPr>
          <w:w w:val="105"/>
        </w:rPr>
        <w:t xml:space="preserve"> applicants for research fellowships for the academic year 202</w:t>
      </w:r>
      <w:r w:rsidR="00A25F4A">
        <w:rPr>
          <w:w w:val="105"/>
        </w:rPr>
        <w:t>3</w:t>
      </w:r>
      <w:r>
        <w:rPr>
          <w:w w:val="105"/>
        </w:rPr>
        <w:t>-202</w:t>
      </w:r>
      <w:r w:rsidR="00A25F4A">
        <w:rPr>
          <w:w w:val="105"/>
        </w:rPr>
        <w:t>4</w:t>
      </w:r>
      <w:r>
        <w:rPr>
          <w:w w:val="105"/>
        </w:rPr>
        <w:t xml:space="preserve">. Fellows gain direct research experience in cardiovascular disease </w:t>
      </w:r>
      <w:r w:rsidR="00935A7B">
        <w:rPr>
          <w:w w:val="105"/>
        </w:rPr>
        <w:t xml:space="preserve">and </w:t>
      </w:r>
      <w:r w:rsidR="001A130D">
        <w:rPr>
          <w:w w:val="105"/>
        </w:rPr>
        <w:t xml:space="preserve">chronic disease </w:t>
      </w:r>
      <w:r>
        <w:rPr>
          <w:w w:val="105"/>
        </w:rPr>
        <w:t xml:space="preserve">prevention, community and health psychology, behavioral medicine, </w:t>
      </w:r>
      <w:r w:rsidR="00B44812">
        <w:rPr>
          <w:w w:val="105"/>
        </w:rPr>
        <w:t>clinical and community trials methodology</w:t>
      </w:r>
      <w:r>
        <w:rPr>
          <w:w w:val="105"/>
        </w:rPr>
        <w:t xml:space="preserve">, clinical </w:t>
      </w:r>
      <w:r w:rsidR="00935A7B">
        <w:rPr>
          <w:w w:val="105"/>
        </w:rPr>
        <w:t xml:space="preserve">and molecular </w:t>
      </w:r>
      <w:r>
        <w:rPr>
          <w:w w:val="105"/>
        </w:rPr>
        <w:t>epidemiology, research design, and</w:t>
      </w:r>
      <w:r>
        <w:rPr>
          <w:spacing w:val="-3"/>
          <w:w w:val="105"/>
        </w:rPr>
        <w:t xml:space="preserve"> </w:t>
      </w:r>
      <w:r>
        <w:rPr>
          <w:w w:val="105"/>
        </w:rPr>
        <w:t>biostatistics</w:t>
      </w:r>
      <w:r w:rsidR="00B44812">
        <w:rPr>
          <w:w w:val="105"/>
        </w:rPr>
        <w:t xml:space="preserve"> with opportunity for training in Stanford’s Preventive Cardiology Clinic</w:t>
      </w:r>
      <w:r w:rsidR="00935A7B">
        <w:rPr>
          <w:w w:val="105"/>
        </w:rPr>
        <w:t>, Stanford Cancer Institute, and Department of Epidemiology and Population Health</w:t>
      </w:r>
      <w:r w:rsidR="00BC6C0B">
        <w:rPr>
          <w:w w:val="105"/>
        </w:rPr>
        <w:t>.</w:t>
      </w:r>
      <w:r w:rsidR="00B44812">
        <w:rPr>
          <w:w w:val="105"/>
        </w:rPr>
        <w:t xml:space="preserve"> </w:t>
      </w:r>
    </w:p>
    <w:p w14:paraId="0D8451D4" w14:textId="77777777" w:rsidR="009D6442" w:rsidRDefault="00E568FE">
      <w:pPr>
        <w:spacing w:before="215" w:line="252" w:lineRule="auto"/>
        <w:ind w:left="1156" w:right="484"/>
        <w:rPr>
          <w:sz w:val="21"/>
        </w:rPr>
      </w:pPr>
      <w:r>
        <w:rPr>
          <w:w w:val="105"/>
          <w:sz w:val="21"/>
        </w:rPr>
        <w:t>We particularly encourage applicants with interests in the following (covering multiple dimensions of prevention research):</w:t>
      </w:r>
    </w:p>
    <w:p w14:paraId="2843EDF6" w14:textId="77777777" w:rsidR="009D6442" w:rsidRDefault="009D6442">
      <w:pPr>
        <w:pStyle w:val="BodyText"/>
        <w:spacing w:before="4"/>
        <w:ind w:left="0" w:firstLine="0"/>
        <w:rPr>
          <w:sz w:val="14"/>
        </w:rPr>
      </w:pPr>
    </w:p>
    <w:p w14:paraId="510CB5D5" w14:textId="77777777" w:rsidR="009D6442" w:rsidRDefault="009D6442">
      <w:pPr>
        <w:rPr>
          <w:sz w:val="14"/>
        </w:rPr>
        <w:sectPr w:rsidR="009D6442">
          <w:type w:val="continuous"/>
          <w:pgSz w:w="12240" w:h="15840"/>
          <w:pgMar w:top="440" w:right="720" w:bottom="280" w:left="140" w:header="720" w:footer="720" w:gutter="0"/>
          <w:cols w:space="720"/>
        </w:sectPr>
      </w:pPr>
    </w:p>
    <w:p w14:paraId="6FA88072" w14:textId="77777777" w:rsidR="009D6442" w:rsidRDefault="00E568FE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107" w:line="247" w:lineRule="auto"/>
        <w:rPr>
          <w:sz w:val="19"/>
        </w:rPr>
      </w:pPr>
      <w:r>
        <w:rPr>
          <w:w w:val="105"/>
          <w:sz w:val="19"/>
        </w:rPr>
        <w:t>Assessing the built environment's impact using health technology</w:t>
      </w:r>
    </w:p>
    <w:p w14:paraId="2E548DFA" w14:textId="77777777" w:rsidR="009D6442" w:rsidRDefault="00E568FE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83" w:line="247" w:lineRule="auto"/>
        <w:ind w:right="321"/>
        <w:rPr>
          <w:sz w:val="19"/>
        </w:rPr>
      </w:pPr>
      <w:r>
        <w:rPr>
          <w:w w:val="105"/>
          <w:sz w:val="19"/>
        </w:rPr>
        <w:t>Chronic disease risk factors in the community and clinical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settings</w:t>
      </w:r>
    </w:p>
    <w:p w14:paraId="7CD76D55" w14:textId="77777777" w:rsidR="009D6442" w:rsidRDefault="00E568FE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line="247" w:lineRule="auto"/>
        <w:ind w:right="69"/>
        <w:rPr>
          <w:sz w:val="19"/>
        </w:rPr>
      </w:pPr>
      <w:r>
        <w:rPr>
          <w:w w:val="105"/>
          <w:sz w:val="19"/>
        </w:rPr>
        <w:t>The effect of aging and other factors on bone health, fitness, and physical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function</w:t>
      </w:r>
    </w:p>
    <w:p w14:paraId="6F8A5AF3" w14:textId="77777777" w:rsidR="009D6442" w:rsidRDefault="00E568FE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line="247" w:lineRule="auto"/>
        <w:ind w:right="490"/>
        <w:rPr>
          <w:sz w:val="19"/>
        </w:rPr>
      </w:pPr>
      <w:r>
        <w:rPr>
          <w:w w:val="105"/>
          <w:sz w:val="19"/>
        </w:rPr>
        <w:t>Environmental and neighborhood influences on health (physical, social, cultural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environments)</w:t>
      </w:r>
    </w:p>
    <w:p w14:paraId="29D00CE5" w14:textId="77777777" w:rsidR="009D6442" w:rsidRDefault="00E568FE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86" w:line="249" w:lineRule="auto"/>
        <w:ind w:right="291"/>
        <w:rPr>
          <w:sz w:val="19"/>
        </w:rPr>
      </w:pPr>
      <w:r>
        <w:rPr>
          <w:w w:val="105"/>
          <w:sz w:val="19"/>
        </w:rPr>
        <w:t>Genetics of prevention (cardiovascular and cancer genetic epidemiology, Omics technologies in prevention and personal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genomics)</w:t>
      </w:r>
    </w:p>
    <w:p w14:paraId="2D8B8755" w14:textId="2C6EC383" w:rsidR="009D6442" w:rsidRDefault="00E568FE" w:rsidP="00B44812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89" w:line="250" w:lineRule="auto"/>
        <w:ind w:left="1512" w:right="72"/>
        <w:rPr>
          <w:sz w:val="19"/>
        </w:rPr>
      </w:pPr>
      <w:r>
        <w:rPr>
          <w:w w:val="105"/>
          <w:sz w:val="19"/>
        </w:rPr>
        <w:t xml:space="preserve">Building the scientific evidence base </w:t>
      </w:r>
      <w:r w:rsidR="00B44812">
        <w:rPr>
          <w:w w:val="105"/>
          <w:sz w:val="19"/>
        </w:rPr>
        <w:t>on</w:t>
      </w:r>
      <w:r>
        <w:rPr>
          <w:w w:val="105"/>
          <w:sz w:val="19"/>
        </w:rPr>
        <w:t xml:space="preserve"> well</w:t>
      </w:r>
      <w:r w:rsidR="00935A7B">
        <w:rPr>
          <w:w w:val="105"/>
          <w:sz w:val="19"/>
        </w:rPr>
        <w:t>-</w:t>
      </w:r>
      <w:r>
        <w:rPr>
          <w:w w:val="105"/>
          <w:sz w:val="19"/>
        </w:rPr>
        <w:t xml:space="preserve">being </w:t>
      </w:r>
      <w:r w:rsidR="00B44812">
        <w:rPr>
          <w:w w:val="105"/>
          <w:sz w:val="19"/>
        </w:rPr>
        <w:t>through</w:t>
      </w:r>
      <w:r>
        <w:rPr>
          <w:w w:val="105"/>
          <w:sz w:val="19"/>
        </w:rPr>
        <w:t xml:space="preserve"> observational, interventional, and biomarker research for informing and sustaining well</w:t>
      </w:r>
      <w:r w:rsidR="00935A7B">
        <w:rPr>
          <w:w w:val="105"/>
          <w:sz w:val="19"/>
        </w:rPr>
        <w:t>-</w:t>
      </w:r>
      <w:r>
        <w:rPr>
          <w:w w:val="105"/>
          <w:sz w:val="19"/>
        </w:rPr>
        <w:t>being among all segments 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populations</w:t>
      </w:r>
    </w:p>
    <w:p w14:paraId="5CD38F0F" w14:textId="77777777" w:rsidR="009D6442" w:rsidRDefault="00E568FE" w:rsidP="00B44812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89"/>
        <w:ind w:left="1512"/>
        <w:rPr>
          <w:sz w:val="19"/>
        </w:rPr>
      </w:pPr>
      <w:r>
        <w:rPr>
          <w:w w:val="105"/>
          <w:sz w:val="19"/>
        </w:rPr>
        <w:t>Health inequalities and promoting health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equity</w:t>
      </w:r>
    </w:p>
    <w:p w14:paraId="3B2421B8" w14:textId="77777777" w:rsidR="009D6442" w:rsidRPr="00B44812" w:rsidRDefault="00E568FE" w:rsidP="00B44812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89"/>
        <w:ind w:left="1512"/>
        <w:rPr>
          <w:sz w:val="19"/>
        </w:rPr>
      </w:pPr>
      <w:r>
        <w:rPr>
          <w:w w:val="105"/>
          <w:sz w:val="19"/>
        </w:rPr>
        <w:t>Gender-based violence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prevention</w:t>
      </w:r>
    </w:p>
    <w:p w14:paraId="742E5F91" w14:textId="77777777" w:rsidR="00B44812" w:rsidRDefault="00B44812" w:rsidP="00B44812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89"/>
        <w:ind w:left="1512"/>
        <w:rPr>
          <w:sz w:val="19"/>
        </w:rPr>
      </w:pPr>
      <w:r>
        <w:rPr>
          <w:sz w:val="19"/>
        </w:rPr>
        <w:t>Healthy aging</w:t>
      </w:r>
    </w:p>
    <w:p w14:paraId="321521B5" w14:textId="77777777" w:rsidR="00E568FE" w:rsidRDefault="00E568FE" w:rsidP="00B44812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89"/>
        <w:ind w:left="1512"/>
        <w:rPr>
          <w:sz w:val="19"/>
        </w:rPr>
      </w:pPr>
      <w:r>
        <w:rPr>
          <w:sz w:val="19"/>
        </w:rPr>
        <w:t>Obesity prevention and control</w:t>
      </w:r>
    </w:p>
    <w:p w14:paraId="6FBAE31C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before="107" w:line="249" w:lineRule="auto"/>
        <w:ind w:right="479"/>
        <w:rPr>
          <w:sz w:val="19"/>
        </w:rPr>
      </w:pPr>
      <w:r>
        <w:rPr>
          <w:spacing w:val="2"/>
          <w:w w:val="103"/>
          <w:sz w:val="19"/>
        </w:rPr>
        <w:br w:type="column"/>
      </w:r>
      <w:r>
        <w:rPr>
          <w:w w:val="105"/>
          <w:sz w:val="19"/>
        </w:rPr>
        <w:t>Health behavior change (nutrition, physical activity, sedentary behavior, sleep quality, and e-cigarette and tobacco use prevention 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treatment)</w:t>
      </w:r>
    </w:p>
    <w:p w14:paraId="6FA79883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before="93"/>
        <w:rPr>
          <w:sz w:val="19"/>
        </w:rPr>
      </w:pPr>
      <w:r>
        <w:rPr>
          <w:w w:val="105"/>
          <w:sz w:val="19"/>
        </w:rPr>
        <w:t>Policy research related to public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health</w:t>
      </w:r>
    </w:p>
    <w:p w14:paraId="0B92D6CC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before="98" w:line="252" w:lineRule="auto"/>
        <w:ind w:right="452"/>
        <w:rPr>
          <w:sz w:val="19"/>
        </w:rPr>
      </w:pPr>
      <w:r>
        <w:rPr>
          <w:w w:val="105"/>
          <w:sz w:val="19"/>
        </w:rPr>
        <w:t>Research methodology (community interventions, CBPR, meta- analysis and bias in research, RCT methods, causal inference)</w:t>
      </w:r>
    </w:p>
    <w:p w14:paraId="1B4717AB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before="81" w:line="252" w:lineRule="auto"/>
        <w:ind w:right="910"/>
        <w:rPr>
          <w:sz w:val="19"/>
        </w:rPr>
      </w:pPr>
      <w:r>
        <w:rPr>
          <w:w w:val="105"/>
          <w:sz w:val="19"/>
        </w:rPr>
        <w:t>Technologies for intervention and assessment of health behaviors and conditions (wearables, EMA, mHealth, social media,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telemedicine)</w:t>
      </w:r>
    </w:p>
    <w:p w14:paraId="1163C082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before="81"/>
        <w:rPr>
          <w:sz w:val="19"/>
        </w:rPr>
      </w:pPr>
      <w:r>
        <w:rPr>
          <w:w w:val="105"/>
          <w:sz w:val="19"/>
        </w:rPr>
        <w:t>Women’s health and gender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science</w:t>
      </w:r>
    </w:p>
    <w:p w14:paraId="3ADCF658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before="93" w:line="247" w:lineRule="auto"/>
        <w:ind w:right="863"/>
        <w:rPr>
          <w:sz w:val="19"/>
        </w:rPr>
      </w:pPr>
      <w:r>
        <w:rPr>
          <w:w w:val="105"/>
          <w:sz w:val="19"/>
        </w:rPr>
        <w:t>Global health issues, especially in chronic disease prevention</w:t>
      </w:r>
    </w:p>
    <w:p w14:paraId="49E373DF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line="247" w:lineRule="auto"/>
        <w:ind w:right="908"/>
        <w:rPr>
          <w:sz w:val="19"/>
        </w:rPr>
      </w:pPr>
      <w:r>
        <w:rPr>
          <w:w w:val="105"/>
          <w:sz w:val="19"/>
        </w:rPr>
        <w:t>Citizen science for health promotion and disease prevention</w:t>
      </w:r>
    </w:p>
    <w:p w14:paraId="35E10D0D" w14:textId="77777777" w:rsidR="009D6442" w:rsidRDefault="00E568FE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spacing w:line="247" w:lineRule="auto"/>
        <w:ind w:right="671"/>
        <w:rPr>
          <w:sz w:val="19"/>
        </w:rPr>
      </w:pPr>
      <w:r>
        <w:rPr>
          <w:w w:val="105"/>
          <w:sz w:val="19"/>
        </w:rPr>
        <w:t>Strategies to improve primary and secondary prevention of chronic disease</w:t>
      </w:r>
      <w:r>
        <w:rPr>
          <w:spacing w:val="-10"/>
          <w:w w:val="105"/>
          <w:sz w:val="19"/>
        </w:rPr>
        <w:t xml:space="preserve"> </w:t>
      </w:r>
    </w:p>
    <w:p w14:paraId="15BE79CD" w14:textId="77777777" w:rsidR="009D6442" w:rsidRDefault="009D6442">
      <w:pPr>
        <w:spacing w:line="247" w:lineRule="auto"/>
        <w:rPr>
          <w:sz w:val="19"/>
        </w:rPr>
        <w:sectPr w:rsidR="009D6442">
          <w:type w:val="continuous"/>
          <w:pgSz w:w="12240" w:h="15840"/>
          <w:pgMar w:top="440" w:right="720" w:bottom="280" w:left="140" w:header="720" w:footer="720" w:gutter="0"/>
          <w:cols w:num="2" w:space="720" w:equalWidth="0">
            <w:col w:w="5879" w:space="40"/>
            <w:col w:w="5461"/>
          </w:cols>
        </w:sectPr>
      </w:pPr>
    </w:p>
    <w:p w14:paraId="47536B4A" w14:textId="77777777" w:rsidR="00E568FE" w:rsidRDefault="00E568FE">
      <w:pPr>
        <w:pStyle w:val="Heading1"/>
        <w:spacing w:line="252" w:lineRule="auto"/>
        <w:rPr>
          <w:w w:val="105"/>
        </w:rPr>
      </w:pPr>
      <w:r>
        <w:rPr>
          <w:w w:val="105"/>
        </w:rPr>
        <w:t xml:space="preserve">Stanford University is committed to increasing representation of women and </w:t>
      </w:r>
      <w:r w:rsidRPr="00BC6C0B">
        <w:rPr>
          <w:w w:val="105"/>
        </w:rPr>
        <w:t>minorities</w:t>
      </w:r>
      <w:r>
        <w:rPr>
          <w:w w:val="105"/>
        </w:rPr>
        <w:t xml:space="preserve"> in its fellowship programs and particularly encourages applications from such candidates. Only U.S. citizens and permanent residents are eligible for this fellowship. Appointments are for 2 years. </w:t>
      </w:r>
    </w:p>
    <w:p w14:paraId="7FF98BA0" w14:textId="0803CE90" w:rsidR="00CF7ECB" w:rsidRDefault="00E568FE" w:rsidP="00E568FE">
      <w:pPr>
        <w:pStyle w:val="Heading1"/>
        <w:spacing w:line="252" w:lineRule="auto"/>
        <w:jc w:val="center"/>
        <w:rPr>
          <w:b/>
          <w:w w:val="105"/>
        </w:rPr>
      </w:pPr>
      <w:r>
        <w:rPr>
          <w:b/>
          <w:w w:val="105"/>
        </w:rPr>
        <w:t xml:space="preserve">Application deadline: </w:t>
      </w:r>
      <w:r w:rsidR="00A25F4A">
        <w:rPr>
          <w:b/>
          <w:w w:val="105"/>
        </w:rPr>
        <w:t>November 15, 2022</w:t>
      </w:r>
    </w:p>
    <w:p w14:paraId="6647CA1A" w14:textId="45A445A2" w:rsidR="009D6442" w:rsidRDefault="00CF7ECB" w:rsidP="00E568FE">
      <w:pPr>
        <w:pStyle w:val="Heading1"/>
        <w:spacing w:line="252" w:lineRule="auto"/>
        <w:jc w:val="center"/>
        <w:rPr>
          <w:b/>
          <w:w w:val="105"/>
        </w:rPr>
      </w:pPr>
      <w:r>
        <w:rPr>
          <w:b/>
          <w:w w:val="105"/>
        </w:rPr>
        <w:t xml:space="preserve">The </w:t>
      </w:r>
      <w:r w:rsidR="00A25F4A">
        <w:rPr>
          <w:b/>
          <w:w w:val="105"/>
        </w:rPr>
        <w:t xml:space="preserve">interview </w:t>
      </w:r>
      <w:r>
        <w:rPr>
          <w:b/>
          <w:w w:val="105"/>
        </w:rPr>
        <w:t>process will begin in early January 202</w:t>
      </w:r>
      <w:r w:rsidR="00A25F4A">
        <w:rPr>
          <w:b/>
          <w:w w:val="105"/>
        </w:rPr>
        <w:t>3</w:t>
      </w:r>
    </w:p>
    <w:p w14:paraId="4A103F67" w14:textId="40A03D09" w:rsidR="00971A39" w:rsidRPr="00971A39" w:rsidRDefault="00971A39" w:rsidP="00971A39">
      <w:pPr>
        <w:pStyle w:val="Heading1"/>
        <w:spacing w:before="0" w:line="252" w:lineRule="auto"/>
        <w:jc w:val="center"/>
        <w:rPr>
          <w:bCs/>
          <w:i/>
          <w:iCs/>
        </w:rPr>
      </w:pPr>
      <w:r w:rsidRPr="00971A39">
        <w:rPr>
          <w:bCs/>
          <w:i/>
          <w:iCs/>
          <w:w w:val="105"/>
        </w:rPr>
        <w:t xml:space="preserve">(in accordance with current guidelines all initial interviews will be done </w:t>
      </w:r>
      <w:r w:rsidRPr="00971A39">
        <w:rPr>
          <w:b/>
          <w:i/>
          <w:iCs/>
          <w:w w:val="105"/>
        </w:rPr>
        <w:t>remotely</w:t>
      </w:r>
      <w:r w:rsidRPr="00971A39">
        <w:rPr>
          <w:bCs/>
          <w:i/>
          <w:iCs/>
          <w:w w:val="105"/>
        </w:rPr>
        <w:t>)</w:t>
      </w:r>
    </w:p>
    <w:p w14:paraId="6B212793" w14:textId="77777777" w:rsidR="009D6442" w:rsidRDefault="00E568FE">
      <w:pPr>
        <w:pStyle w:val="BodyText"/>
        <w:spacing w:before="128" w:line="254" w:lineRule="auto"/>
        <w:ind w:left="3239" w:right="2514" w:firstLine="0"/>
        <w:jc w:val="center"/>
      </w:pPr>
      <w:r>
        <w:rPr>
          <w:w w:val="105"/>
        </w:rPr>
        <w:t xml:space="preserve">Information and the on-line application can be found on our website: </w:t>
      </w:r>
      <w:hyperlink r:id="rId6">
        <w:r>
          <w:rPr>
            <w:color w:val="0000FF"/>
            <w:w w:val="105"/>
            <w:u w:val="single" w:color="0000FF"/>
          </w:rPr>
          <w:t>http://prevention.stanford.edu/education/fellowship.html</w:t>
        </w:r>
      </w:hyperlink>
    </w:p>
    <w:p w14:paraId="2675D021" w14:textId="77777777" w:rsidR="001A130D" w:rsidRDefault="00E568FE" w:rsidP="001A130D">
      <w:pPr>
        <w:pStyle w:val="BodyText"/>
        <w:spacing w:line="252" w:lineRule="auto"/>
        <w:ind w:left="3960" w:right="3100" w:firstLine="0"/>
        <w:jc w:val="center"/>
        <w:rPr>
          <w:w w:val="105"/>
        </w:rPr>
      </w:pPr>
      <w:r>
        <w:rPr>
          <w:w w:val="105"/>
        </w:rPr>
        <w:t>Additional questions should be directed to</w:t>
      </w:r>
    </w:p>
    <w:p w14:paraId="4BC87150" w14:textId="77777777" w:rsidR="001A130D" w:rsidRDefault="001A130D" w:rsidP="001A130D">
      <w:pPr>
        <w:pStyle w:val="BodyText"/>
        <w:spacing w:line="252" w:lineRule="auto"/>
        <w:ind w:left="3960" w:right="3100" w:firstLine="0"/>
        <w:jc w:val="center"/>
        <w:rPr>
          <w:w w:val="105"/>
        </w:rPr>
      </w:pPr>
      <w:r>
        <w:rPr>
          <w:w w:val="105"/>
        </w:rPr>
        <w:t>Prof</w:t>
      </w:r>
      <w:r w:rsidR="00E568FE">
        <w:rPr>
          <w:w w:val="105"/>
        </w:rPr>
        <w:t>. Christopher Gardner, Fellowship Director</w:t>
      </w:r>
    </w:p>
    <w:p w14:paraId="71F83453" w14:textId="71BBC6D9" w:rsidR="009D6442" w:rsidRDefault="00E568FE" w:rsidP="001A130D">
      <w:pPr>
        <w:pStyle w:val="BodyText"/>
        <w:spacing w:line="252" w:lineRule="auto"/>
        <w:ind w:left="3960" w:right="3100" w:firstLine="0"/>
        <w:jc w:val="center"/>
      </w:pPr>
      <w:r>
        <w:rPr>
          <w:w w:val="105"/>
        </w:rPr>
        <w:t xml:space="preserve">c/o </w:t>
      </w:r>
      <w:r w:rsidR="001A130D">
        <w:rPr>
          <w:w w:val="105"/>
        </w:rPr>
        <w:t>Alyssa Sacro</w:t>
      </w:r>
    </w:p>
    <w:p w14:paraId="59FC5328" w14:textId="1199256C" w:rsidR="009D6442" w:rsidRDefault="00A25F4A" w:rsidP="001A130D">
      <w:pPr>
        <w:pStyle w:val="BodyText"/>
        <w:spacing w:line="252" w:lineRule="auto"/>
        <w:ind w:left="4274" w:right="3547" w:firstLine="0"/>
        <w:jc w:val="center"/>
      </w:pPr>
      <w:r>
        <w:rPr>
          <w:w w:val="105"/>
        </w:rPr>
        <w:t>3180 Porter Drive</w:t>
      </w:r>
      <w:r w:rsidR="00E568FE">
        <w:rPr>
          <w:w w:val="105"/>
        </w:rPr>
        <w:t>,</w:t>
      </w:r>
      <w:r>
        <w:rPr>
          <w:w w:val="105"/>
        </w:rPr>
        <w:t xml:space="preserve"> Palo Alto</w:t>
      </w:r>
      <w:r w:rsidR="00E568FE">
        <w:rPr>
          <w:w w:val="105"/>
        </w:rPr>
        <w:t xml:space="preserve"> CA 9430</w:t>
      </w:r>
      <w:r>
        <w:rPr>
          <w:w w:val="105"/>
        </w:rPr>
        <w:t>4</w:t>
      </w:r>
      <w:r w:rsidR="00E568FE">
        <w:rPr>
          <w:w w:val="105"/>
        </w:rPr>
        <w:t>-</w:t>
      </w:r>
      <w:r>
        <w:rPr>
          <w:w w:val="105"/>
        </w:rPr>
        <w:t>1212</w:t>
      </w:r>
      <w:r w:rsidR="00E568FE">
        <w:rPr>
          <w:w w:val="105"/>
        </w:rPr>
        <w:t xml:space="preserve"> via email at: </w:t>
      </w:r>
      <w:hyperlink r:id="rId7" w:history="1">
        <w:r w:rsidR="001A130D" w:rsidRPr="00816736">
          <w:rPr>
            <w:rStyle w:val="Hyperlink"/>
            <w:w w:val="105"/>
          </w:rPr>
          <w:t>asacro@stanford.edu</w:t>
        </w:r>
      </w:hyperlink>
    </w:p>
    <w:sectPr w:rsidR="009D6442">
      <w:type w:val="continuous"/>
      <w:pgSz w:w="12240" w:h="15840"/>
      <w:pgMar w:top="440" w:right="7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7FB9"/>
    <w:multiLevelType w:val="hybridMultilevel"/>
    <w:tmpl w:val="82E279AA"/>
    <w:lvl w:ilvl="0" w:tplc="CBDA285E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9642378"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141A736A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42423F3C"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638C572C">
      <w:numFmt w:val="bullet"/>
      <w:lvlText w:val="•"/>
      <w:lvlJc w:val="left"/>
      <w:pPr>
        <w:ind w:left="3263" w:hanging="360"/>
      </w:pPr>
      <w:rPr>
        <w:rFonts w:hint="default"/>
      </w:rPr>
    </w:lvl>
    <w:lvl w:ilvl="5" w:tplc="BA749AD6"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7A30F2C0">
      <w:numFmt w:val="bullet"/>
      <w:lvlText w:val="•"/>
      <w:lvlJc w:val="left"/>
      <w:pPr>
        <w:ind w:left="4135" w:hanging="360"/>
      </w:pPr>
      <w:rPr>
        <w:rFonts w:hint="default"/>
      </w:rPr>
    </w:lvl>
    <w:lvl w:ilvl="7" w:tplc="6E48192C">
      <w:numFmt w:val="bullet"/>
      <w:lvlText w:val="•"/>
      <w:lvlJc w:val="left"/>
      <w:pPr>
        <w:ind w:left="4571" w:hanging="360"/>
      </w:pPr>
      <w:rPr>
        <w:rFonts w:hint="default"/>
      </w:rPr>
    </w:lvl>
    <w:lvl w:ilvl="8" w:tplc="F7E8359A">
      <w:numFmt w:val="bullet"/>
      <w:lvlText w:val="•"/>
      <w:lvlJc w:val="left"/>
      <w:pPr>
        <w:ind w:left="5006" w:hanging="360"/>
      </w:pPr>
      <w:rPr>
        <w:rFonts w:hint="default"/>
      </w:rPr>
    </w:lvl>
  </w:abstractNum>
  <w:abstractNum w:abstractNumId="1" w15:restartNumberingAfterBreak="0">
    <w:nsid w:val="79921E1B"/>
    <w:multiLevelType w:val="hybridMultilevel"/>
    <w:tmpl w:val="5F6C427A"/>
    <w:lvl w:ilvl="0" w:tplc="D8AE3756">
      <w:numFmt w:val="bullet"/>
      <w:lvlText w:val=""/>
      <w:lvlJc w:val="left"/>
      <w:pPr>
        <w:ind w:left="60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B8A7A4C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383A676E"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47F4B5BA"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2A38FCF6"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2C6EBF44">
      <w:numFmt w:val="bullet"/>
      <w:lvlText w:val="•"/>
      <w:lvlJc w:val="left"/>
      <w:pPr>
        <w:ind w:left="3030" w:hanging="360"/>
      </w:pPr>
      <w:rPr>
        <w:rFonts w:hint="default"/>
      </w:rPr>
    </w:lvl>
    <w:lvl w:ilvl="6" w:tplc="43FA61BA">
      <w:numFmt w:val="bullet"/>
      <w:lvlText w:val="•"/>
      <w:lvlJc w:val="left"/>
      <w:pPr>
        <w:ind w:left="3516" w:hanging="360"/>
      </w:pPr>
      <w:rPr>
        <w:rFonts w:hint="default"/>
      </w:rPr>
    </w:lvl>
    <w:lvl w:ilvl="7" w:tplc="A05EE62A">
      <w:numFmt w:val="bullet"/>
      <w:lvlText w:val="•"/>
      <w:lvlJc w:val="left"/>
      <w:pPr>
        <w:ind w:left="4003" w:hanging="360"/>
      </w:pPr>
      <w:rPr>
        <w:rFonts w:hint="default"/>
      </w:rPr>
    </w:lvl>
    <w:lvl w:ilvl="8" w:tplc="6D18A8D2">
      <w:numFmt w:val="bullet"/>
      <w:lvlText w:val="•"/>
      <w:lvlJc w:val="left"/>
      <w:pPr>
        <w:ind w:left="4489" w:hanging="360"/>
      </w:pPr>
      <w:rPr>
        <w:rFonts w:hint="default"/>
      </w:rPr>
    </w:lvl>
  </w:abstractNum>
  <w:num w:numId="1" w16cid:durableId="359672021">
    <w:abstractNumId w:val="1"/>
  </w:num>
  <w:num w:numId="2" w16cid:durableId="123681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42"/>
    <w:rsid w:val="000122DB"/>
    <w:rsid w:val="000C09B6"/>
    <w:rsid w:val="001A130D"/>
    <w:rsid w:val="0036447C"/>
    <w:rsid w:val="003B732B"/>
    <w:rsid w:val="00935A7B"/>
    <w:rsid w:val="00971A39"/>
    <w:rsid w:val="009D6442"/>
    <w:rsid w:val="00A25F4A"/>
    <w:rsid w:val="00B44812"/>
    <w:rsid w:val="00BC6C0B"/>
    <w:rsid w:val="00BF1E01"/>
    <w:rsid w:val="00C405CD"/>
    <w:rsid w:val="00C94F39"/>
    <w:rsid w:val="00CF7ECB"/>
    <w:rsid w:val="00E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A449"/>
  <w15:docId w15:val="{171A7AF5-75FB-8D4F-BC25-2E90838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2"/>
      <w:ind w:left="1156" w:right="484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3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1"/>
      <w:ind w:left="6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A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7B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cro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vention.stanford.edu/education/fellowship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SPRC Postdoc Poster 2018-19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SPRC Postdoc Poster 2018-19</dc:title>
  <dc:creator>akoehler</dc:creator>
  <cp:lastModifiedBy>Isaiah Wright</cp:lastModifiedBy>
  <cp:revision>2</cp:revision>
  <dcterms:created xsi:type="dcterms:W3CDTF">2022-11-04T00:49:00Z</dcterms:created>
  <dcterms:modified xsi:type="dcterms:W3CDTF">2022-11-04T00:49:00Z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Word</vt:lpwstr>
  </property>
  <property fmtid="{D5CDD505-2E9C-101B-9397-08002B2CF9AE}" pid="4" name="LastSaved">
    <vt:filetime>2019-09-30T00:00:00Z</vt:filetime>
  </property>
</Properties>
</file>